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115" w:rsidRDefault="007E605E" w:rsidP="007E605E">
      <w:pPr>
        <w:jc w:val="center"/>
        <w:rPr>
          <w:b/>
        </w:rPr>
      </w:pPr>
      <w:r>
        <w:rPr>
          <w:b/>
        </w:rPr>
        <w:t>Japanese Internment Camps</w:t>
      </w:r>
    </w:p>
    <w:p w:rsidR="007E605E" w:rsidRDefault="007E605E" w:rsidP="007E605E">
      <w:pPr>
        <w:spacing w:after="0"/>
        <w:rPr>
          <w:b/>
        </w:rPr>
      </w:pPr>
      <w:r>
        <w:rPr>
          <w:b/>
        </w:rPr>
        <w:t>Round One</w:t>
      </w:r>
      <w:r w:rsidR="00DB55DF">
        <w:rPr>
          <w:b/>
        </w:rPr>
        <w:t xml:space="preserve"> </w:t>
      </w:r>
      <w:hyperlink r:id="rId4" w:history="1">
        <w:r w:rsidR="00DB55DF" w:rsidRPr="00466AD0">
          <w:rPr>
            <w:rStyle w:val="Hyperlink"/>
            <w:b/>
          </w:rPr>
          <w:t>https://www.youtube.com/watch?v=A61yDOCyFR8</w:t>
        </w:r>
      </w:hyperlink>
      <w:r w:rsidR="00DB55DF">
        <w:rPr>
          <w:b/>
        </w:rPr>
        <w:t xml:space="preserve"> </w:t>
      </w:r>
    </w:p>
    <w:tbl>
      <w:tblPr>
        <w:tblStyle w:val="TableGrid"/>
        <w:tblW w:w="0" w:type="auto"/>
        <w:tblLook w:val="04A0" w:firstRow="1" w:lastRow="0" w:firstColumn="1" w:lastColumn="0" w:noHBand="0" w:noVBand="1"/>
      </w:tblPr>
      <w:tblGrid>
        <w:gridCol w:w="1998"/>
        <w:gridCol w:w="4500"/>
        <w:gridCol w:w="4518"/>
      </w:tblGrid>
      <w:tr w:rsidR="007E605E" w:rsidTr="007E605E">
        <w:tc>
          <w:tcPr>
            <w:tcW w:w="1998" w:type="dxa"/>
            <w:vAlign w:val="center"/>
          </w:tcPr>
          <w:p w:rsidR="007E605E" w:rsidRPr="007E605E" w:rsidRDefault="007E605E" w:rsidP="007E605E">
            <w:pPr>
              <w:jc w:val="center"/>
              <w:rPr>
                <w:b/>
              </w:rPr>
            </w:pPr>
            <w:r w:rsidRPr="007E605E">
              <w:rPr>
                <w:b/>
              </w:rPr>
              <w:t>Document</w:t>
            </w:r>
          </w:p>
        </w:tc>
        <w:tc>
          <w:tcPr>
            <w:tcW w:w="4500" w:type="dxa"/>
            <w:vAlign w:val="center"/>
          </w:tcPr>
          <w:p w:rsidR="007E605E" w:rsidRPr="007E605E" w:rsidRDefault="007E605E" w:rsidP="007E605E">
            <w:pPr>
              <w:jc w:val="center"/>
              <w:rPr>
                <w:b/>
              </w:rPr>
            </w:pPr>
            <w:r w:rsidRPr="007E605E">
              <w:rPr>
                <w:b/>
              </w:rPr>
              <w:t>Reasons for internment suggested by this document</w:t>
            </w:r>
          </w:p>
        </w:tc>
        <w:tc>
          <w:tcPr>
            <w:tcW w:w="4518" w:type="dxa"/>
            <w:vAlign w:val="center"/>
          </w:tcPr>
          <w:p w:rsidR="007E605E" w:rsidRPr="007E605E" w:rsidRDefault="007E605E" w:rsidP="007E605E">
            <w:pPr>
              <w:jc w:val="center"/>
              <w:rPr>
                <w:b/>
              </w:rPr>
            </w:pPr>
            <w:r w:rsidRPr="007E605E">
              <w:rPr>
                <w:b/>
              </w:rPr>
              <w:t>Evidence from the document to support these reasons</w:t>
            </w:r>
          </w:p>
        </w:tc>
      </w:tr>
      <w:tr w:rsidR="007E605E" w:rsidTr="007E605E">
        <w:tc>
          <w:tcPr>
            <w:tcW w:w="1998" w:type="dxa"/>
            <w:vAlign w:val="center"/>
          </w:tcPr>
          <w:p w:rsidR="007E605E" w:rsidRPr="007E605E" w:rsidRDefault="007E605E" w:rsidP="007E605E">
            <w:pPr>
              <w:jc w:val="center"/>
              <w:rPr>
                <w:b/>
              </w:rPr>
            </w:pPr>
            <w:r w:rsidRPr="007E605E">
              <w:rPr>
                <w:b/>
              </w:rPr>
              <w:t>Government Newsreel</w:t>
            </w:r>
          </w:p>
          <w:p w:rsidR="007E605E" w:rsidRPr="007E605E" w:rsidRDefault="007E605E" w:rsidP="007E605E">
            <w:pPr>
              <w:jc w:val="center"/>
              <w:rPr>
                <w:b/>
              </w:rPr>
            </w:pPr>
          </w:p>
          <w:p w:rsidR="007E605E" w:rsidRDefault="007E605E" w:rsidP="007E605E">
            <w:pPr>
              <w:jc w:val="center"/>
              <w:rPr>
                <w:b/>
              </w:rPr>
            </w:pPr>
            <w:r w:rsidRPr="007E605E">
              <w:rPr>
                <w:b/>
              </w:rPr>
              <w:t xml:space="preserve">Date: </w:t>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t>___________</w:t>
            </w:r>
          </w:p>
          <w:p w:rsidR="007E605E" w:rsidRDefault="007E605E" w:rsidP="007E605E">
            <w:pPr>
              <w:jc w:val="center"/>
              <w:rPr>
                <w:b/>
              </w:rPr>
            </w:pPr>
          </w:p>
          <w:p w:rsidR="007E605E" w:rsidRPr="007E605E" w:rsidRDefault="007E605E" w:rsidP="007E605E">
            <w:pPr>
              <w:jc w:val="center"/>
              <w:rPr>
                <w:b/>
              </w:rPr>
            </w:pPr>
          </w:p>
        </w:tc>
        <w:tc>
          <w:tcPr>
            <w:tcW w:w="4500" w:type="dxa"/>
            <w:vAlign w:val="center"/>
          </w:tcPr>
          <w:p w:rsidR="007E605E" w:rsidRDefault="007E605E" w:rsidP="007E605E">
            <w:pPr>
              <w:jc w:val="center"/>
              <w:rPr>
                <w:b/>
              </w:rPr>
            </w:pPr>
          </w:p>
          <w:p w:rsidR="007E605E" w:rsidRDefault="007E605E" w:rsidP="007E605E">
            <w:pPr>
              <w:jc w:val="center"/>
              <w:rPr>
                <w:b/>
              </w:rPr>
            </w:pPr>
          </w:p>
          <w:p w:rsidR="007E605E" w:rsidRDefault="007E605E" w:rsidP="007E605E">
            <w:pPr>
              <w:jc w:val="center"/>
              <w:rPr>
                <w:b/>
              </w:rPr>
            </w:pPr>
          </w:p>
          <w:p w:rsidR="007E605E" w:rsidRDefault="007E605E" w:rsidP="007E605E">
            <w:pPr>
              <w:jc w:val="center"/>
              <w:rPr>
                <w:b/>
              </w:rPr>
            </w:pPr>
          </w:p>
          <w:p w:rsidR="007E605E" w:rsidRDefault="007E605E" w:rsidP="007E605E">
            <w:pPr>
              <w:jc w:val="center"/>
              <w:rPr>
                <w:b/>
              </w:rPr>
            </w:pPr>
          </w:p>
          <w:p w:rsidR="007E605E" w:rsidRDefault="007E605E" w:rsidP="007E605E">
            <w:pPr>
              <w:jc w:val="center"/>
              <w:rPr>
                <w:b/>
              </w:rPr>
            </w:pPr>
          </w:p>
          <w:p w:rsidR="007E605E" w:rsidRPr="007E605E" w:rsidRDefault="007E605E" w:rsidP="007E605E">
            <w:pPr>
              <w:jc w:val="center"/>
              <w:rPr>
                <w:b/>
              </w:rPr>
            </w:pPr>
          </w:p>
        </w:tc>
        <w:tc>
          <w:tcPr>
            <w:tcW w:w="4518" w:type="dxa"/>
            <w:vAlign w:val="center"/>
          </w:tcPr>
          <w:p w:rsidR="007E605E" w:rsidRPr="007E605E" w:rsidRDefault="007E605E" w:rsidP="007E605E">
            <w:pPr>
              <w:jc w:val="center"/>
              <w:rPr>
                <w:b/>
              </w:rPr>
            </w:pPr>
          </w:p>
        </w:tc>
      </w:tr>
    </w:tbl>
    <w:p w:rsidR="007E605E" w:rsidRDefault="007E605E" w:rsidP="007E605E"/>
    <w:p w:rsidR="007E605E" w:rsidRDefault="007E605E" w:rsidP="007E605E">
      <w:pPr>
        <w:spacing w:after="0"/>
        <w:jc w:val="center"/>
      </w:pPr>
      <w:r>
        <w:t>Hypothesis 1: Why were Japanese Americans interned during World War II?</w:t>
      </w:r>
    </w:p>
    <w:tbl>
      <w:tblPr>
        <w:tblStyle w:val="TableGrid"/>
        <w:tblW w:w="0" w:type="auto"/>
        <w:tblLook w:val="04A0" w:firstRow="1" w:lastRow="0" w:firstColumn="1" w:lastColumn="0" w:noHBand="0" w:noVBand="1"/>
      </w:tblPr>
      <w:tblGrid>
        <w:gridCol w:w="11016"/>
      </w:tblGrid>
      <w:tr w:rsidR="007E605E" w:rsidTr="007E605E">
        <w:tc>
          <w:tcPr>
            <w:tcW w:w="11016" w:type="dxa"/>
          </w:tcPr>
          <w:p w:rsidR="007E605E" w:rsidRDefault="007E605E" w:rsidP="007E605E">
            <w:pPr>
              <w:jc w:val="center"/>
            </w:pPr>
          </w:p>
          <w:p w:rsidR="007E605E" w:rsidRDefault="007E605E" w:rsidP="007E605E">
            <w:pPr>
              <w:jc w:val="center"/>
            </w:pPr>
          </w:p>
          <w:p w:rsidR="007E605E" w:rsidRDefault="007E605E" w:rsidP="007E605E">
            <w:pPr>
              <w:jc w:val="center"/>
            </w:pPr>
          </w:p>
          <w:p w:rsidR="007E605E" w:rsidRDefault="007E605E" w:rsidP="007E605E">
            <w:pPr>
              <w:jc w:val="center"/>
            </w:pPr>
          </w:p>
          <w:p w:rsidR="007E605E" w:rsidRDefault="007E605E" w:rsidP="007E605E">
            <w:pPr>
              <w:jc w:val="center"/>
            </w:pPr>
          </w:p>
          <w:p w:rsidR="007E605E" w:rsidRDefault="007E605E" w:rsidP="007E605E">
            <w:pPr>
              <w:jc w:val="center"/>
            </w:pPr>
          </w:p>
          <w:p w:rsidR="007E605E" w:rsidRDefault="007E605E" w:rsidP="007E605E">
            <w:pPr>
              <w:jc w:val="center"/>
            </w:pPr>
          </w:p>
        </w:tc>
      </w:tr>
    </w:tbl>
    <w:p w:rsidR="007E605E" w:rsidRDefault="007E605E" w:rsidP="007E605E">
      <w:pPr>
        <w:jc w:val="center"/>
      </w:pPr>
    </w:p>
    <w:p w:rsidR="007E605E" w:rsidRDefault="007E605E" w:rsidP="007E605E">
      <w:pPr>
        <w:spacing w:after="0"/>
        <w:rPr>
          <w:b/>
        </w:rPr>
      </w:pPr>
      <w:r>
        <w:rPr>
          <w:b/>
        </w:rPr>
        <w:t>Round Two</w:t>
      </w:r>
    </w:p>
    <w:tbl>
      <w:tblPr>
        <w:tblStyle w:val="TableGrid"/>
        <w:tblW w:w="0" w:type="auto"/>
        <w:tblLook w:val="04A0" w:firstRow="1" w:lastRow="0" w:firstColumn="1" w:lastColumn="0" w:noHBand="0" w:noVBand="1"/>
      </w:tblPr>
      <w:tblGrid>
        <w:gridCol w:w="1998"/>
        <w:gridCol w:w="4500"/>
        <w:gridCol w:w="4518"/>
      </w:tblGrid>
      <w:tr w:rsidR="007E605E" w:rsidTr="00AE109D">
        <w:tc>
          <w:tcPr>
            <w:tcW w:w="1998" w:type="dxa"/>
            <w:vAlign w:val="center"/>
          </w:tcPr>
          <w:p w:rsidR="007E605E" w:rsidRPr="007E605E" w:rsidRDefault="007E605E" w:rsidP="00AE109D">
            <w:pPr>
              <w:jc w:val="center"/>
              <w:rPr>
                <w:b/>
              </w:rPr>
            </w:pPr>
            <w:r w:rsidRPr="007E605E">
              <w:rPr>
                <w:b/>
              </w:rPr>
              <w:t>Document</w:t>
            </w:r>
          </w:p>
        </w:tc>
        <w:tc>
          <w:tcPr>
            <w:tcW w:w="4500" w:type="dxa"/>
            <w:vAlign w:val="center"/>
          </w:tcPr>
          <w:p w:rsidR="007E605E" w:rsidRPr="007E605E" w:rsidRDefault="007E605E" w:rsidP="00AE109D">
            <w:pPr>
              <w:jc w:val="center"/>
              <w:rPr>
                <w:b/>
              </w:rPr>
            </w:pPr>
            <w:r w:rsidRPr="007E605E">
              <w:rPr>
                <w:b/>
              </w:rPr>
              <w:t>Reasons for internment suggested by this document</w:t>
            </w:r>
          </w:p>
        </w:tc>
        <w:tc>
          <w:tcPr>
            <w:tcW w:w="4518" w:type="dxa"/>
            <w:vAlign w:val="center"/>
          </w:tcPr>
          <w:p w:rsidR="007E605E" w:rsidRPr="007E605E" w:rsidRDefault="007E605E" w:rsidP="00AE109D">
            <w:pPr>
              <w:jc w:val="center"/>
              <w:rPr>
                <w:b/>
              </w:rPr>
            </w:pPr>
            <w:r w:rsidRPr="007E605E">
              <w:rPr>
                <w:b/>
              </w:rPr>
              <w:t>Evidence from the document to support these reasons</w:t>
            </w:r>
          </w:p>
        </w:tc>
      </w:tr>
      <w:tr w:rsidR="007E605E" w:rsidTr="00AE109D">
        <w:tc>
          <w:tcPr>
            <w:tcW w:w="1998" w:type="dxa"/>
            <w:vAlign w:val="center"/>
          </w:tcPr>
          <w:p w:rsidR="007E605E" w:rsidRPr="007E605E" w:rsidRDefault="007E605E" w:rsidP="00AE109D">
            <w:pPr>
              <w:jc w:val="center"/>
              <w:rPr>
                <w:b/>
              </w:rPr>
            </w:pPr>
            <w:r>
              <w:rPr>
                <w:b/>
              </w:rPr>
              <w:t>The Munson Report</w:t>
            </w:r>
          </w:p>
          <w:p w:rsidR="007E605E" w:rsidRPr="007E605E" w:rsidRDefault="007E605E" w:rsidP="00AE109D">
            <w:pPr>
              <w:jc w:val="center"/>
              <w:rPr>
                <w:b/>
              </w:rPr>
            </w:pPr>
          </w:p>
          <w:p w:rsidR="007E605E" w:rsidRDefault="007E605E" w:rsidP="00AE109D">
            <w:pPr>
              <w:jc w:val="center"/>
              <w:rPr>
                <w:b/>
              </w:rPr>
            </w:pPr>
            <w:r w:rsidRPr="007E605E">
              <w:rPr>
                <w:b/>
              </w:rPr>
              <w:t xml:space="preserve">Date: </w:t>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t>___________</w:t>
            </w:r>
          </w:p>
          <w:p w:rsidR="007E605E" w:rsidRDefault="007E605E" w:rsidP="00AE109D">
            <w:pPr>
              <w:jc w:val="center"/>
              <w:rPr>
                <w:b/>
              </w:rPr>
            </w:pPr>
          </w:p>
          <w:p w:rsidR="007E605E" w:rsidRPr="007E605E" w:rsidRDefault="007E605E" w:rsidP="00AE109D">
            <w:pPr>
              <w:jc w:val="center"/>
              <w:rPr>
                <w:b/>
              </w:rPr>
            </w:pPr>
          </w:p>
        </w:tc>
        <w:tc>
          <w:tcPr>
            <w:tcW w:w="4500" w:type="dxa"/>
            <w:vAlign w:val="center"/>
          </w:tcPr>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Pr="007E605E" w:rsidRDefault="007E605E" w:rsidP="00AE109D">
            <w:pPr>
              <w:jc w:val="center"/>
              <w:rPr>
                <w:b/>
              </w:rPr>
            </w:pPr>
          </w:p>
        </w:tc>
        <w:tc>
          <w:tcPr>
            <w:tcW w:w="4518" w:type="dxa"/>
            <w:vAlign w:val="center"/>
          </w:tcPr>
          <w:p w:rsidR="007E605E" w:rsidRPr="007E605E" w:rsidRDefault="007E605E" w:rsidP="00AE109D">
            <w:pPr>
              <w:jc w:val="center"/>
              <w:rPr>
                <w:b/>
              </w:rPr>
            </w:pPr>
          </w:p>
        </w:tc>
      </w:tr>
      <w:tr w:rsidR="007E605E" w:rsidTr="00AE109D">
        <w:tc>
          <w:tcPr>
            <w:tcW w:w="1998" w:type="dxa"/>
            <w:vAlign w:val="center"/>
          </w:tcPr>
          <w:p w:rsidR="007E605E" w:rsidRDefault="007E605E" w:rsidP="00AE109D">
            <w:pPr>
              <w:jc w:val="center"/>
              <w:rPr>
                <w:b/>
              </w:rPr>
            </w:pPr>
            <w:r>
              <w:rPr>
                <w:b/>
              </w:rPr>
              <w:t>The Crisis Article</w:t>
            </w:r>
          </w:p>
          <w:p w:rsidR="007E605E" w:rsidRDefault="007E605E" w:rsidP="00AE109D">
            <w:pPr>
              <w:jc w:val="center"/>
              <w:rPr>
                <w:b/>
              </w:rPr>
            </w:pPr>
          </w:p>
          <w:p w:rsidR="007E605E" w:rsidRDefault="007E605E" w:rsidP="00AE109D">
            <w:pPr>
              <w:jc w:val="center"/>
              <w:rPr>
                <w:b/>
              </w:rPr>
            </w:pPr>
            <w:r>
              <w:rPr>
                <w:b/>
              </w:rPr>
              <w:t xml:space="preserve">Date: </w:t>
            </w:r>
            <w:r>
              <w:rPr>
                <w:b/>
              </w:rPr>
              <w:softHyphen/>
            </w:r>
            <w:r>
              <w:rPr>
                <w:b/>
              </w:rPr>
              <w:softHyphen/>
            </w:r>
            <w:r>
              <w:rPr>
                <w:b/>
              </w:rPr>
              <w:softHyphen/>
              <w:t>___________</w:t>
            </w:r>
          </w:p>
        </w:tc>
        <w:tc>
          <w:tcPr>
            <w:tcW w:w="4500" w:type="dxa"/>
            <w:vAlign w:val="center"/>
          </w:tcPr>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tc>
        <w:tc>
          <w:tcPr>
            <w:tcW w:w="4518" w:type="dxa"/>
            <w:vAlign w:val="center"/>
          </w:tcPr>
          <w:p w:rsidR="007E605E" w:rsidRPr="007E605E" w:rsidRDefault="007E605E" w:rsidP="00AE109D">
            <w:pPr>
              <w:jc w:val="center"/>
              <w:rPr>
                <w:b/>
              </w:rPr>
            </w:pPr>
          </w:p>
        </w:tc>
      </w:tr>
    </w:tbl>
    <w:p w:rsidR="007E605E" w:rsidRDefault="007E605E" w:rsidP="007E605E">
      <w:pPr>
        <w:spacing w:after="0"/>
        <w:rPr>
          <w:b/>
        </w:rPr>
      </w:pPr>
    </w:p>
    <w:p w:rsidR="007E605E" w:rsidRDefault="007E605E" w:rsidP="007E605E">
      <w:pPr>
        <w:spacing w:after="0"/>
        <w:jc w:val="center"/>
      </w:pPr>
      <w:r>
        <w:t xml:space="preserve">Hypothesis </w:t>
      </w:r>
      <w:r>
        <w:t>2</w:t>
      </w:r>
      <w:r>
        <w:t>: Why were Japanese Americans interned during World War II</w:t>
      </w:r>
      <w:r>
        <w:t>?</w:t>
      </w:r>
    </w:p>
    <w:tbl>
      <w:tblPr>
        <w:tblStyle w:val="TableGrid"/>
        <w:tblW w:w="0" w:type="auto"/>
        <w:tblLook w:val="04A0" w:firstRow="1" w:lastRow="0" w:firstColumn="1" w:lastColumn="0" w:noHBand="0" w:noVBand="1"/>
      </w:tblPr>
      <w:tblGrid>
        <w:gridCol w:w="11016"/>
      </w:tblGrid>
      <w:tr w:rsidR="007E605E" w:rsidTr="00AE109D">
        <w:tc>
          <w:tcPr>
            <w:tcW w:w="11016" w:type="dxa"/>
          </w:tcPr>
          <w:p w:rsidR="007E605E" w:rsidRDefault="007E605E" w:rsidP="00AE109D">
            <w:pPr>
              <w:jc w:val="center"/>
            </w:pPr>
          </w:p>
          <w:p w:rsidR="007E605E" w:rsidRDefault="007E605E" w:rsidP="00AE109D">
            <w:pPr>
              <w:jc w:val="center"/>
            </w:pPr>
          </w:p>
          <w:p w:rsidR="007E605E" w:rsidRDefault="007E605E" w:rsidP="00AE109D">
            <w:pPr>
              <w:jc w:val="center"/>
            </w:pPr>
          </w:p>
          <w:p w:rsidR="007E605E" w:rsidRDefault="007E605E" w:rsidP="00AE109D">
            <w:pPr>
              <w:jc w:val="center"/>
            </w:pPr>
          </w:p>
          <w:p w:rsidR="007E605E" w:rsidRDefault="007E605E" w:rsidP="00AE109D">
            <w:pPr>
              <w:jc w:val="center"/>
            </w:pPr>
          </w:p>
          <w:p w:rsidR="007E605E" w:rsidRDefault="007E605E" w:rsidP="00AE109D">
            <w:pPr>
              <w:jc w:val="center"/>
            </w:pPr>
          </w:p>
          <w:p w:rsidR="007E605E" w:rsidRDefault="007E605E" w:rsidP="00AE109D">
            <w:pPr>
              <w:jc w:val="center"/>
            </w:pPr>
          </w:p>
        </w:tc>
      </w:tr>
    </w:tbl>
    <w:p w:rsidR="007E605E" w:rsidRDefault="007E605E" w:rsidP="007E605E">
      <w:pPr>
        <w:spacing w:after="0"/>
        <w:rPr>
          <w:b/>
        </w:rPr>
      </w:pPr>
    </w:p>
    <w:p w:rsidR="007E605E" w:rsidRDefault="007E605E" w:rsidP="007E605E">
      <w:pPr>
        <w:spacing w:after="0"/>
        <w:rPr>
          <w:b/>
        </w:rPr>
      </w:pPr>
    </w:p>
    <w:p w:rsidR="007E605E" w:rsidRDefault="007E605E" w:rsidP="007E605E">
      <w:pPr>
        <w:spacing w:after="0"/>
        <w:rPr>
          <w:b/>
        </w:rPr>
      </w:pPr>
      <w:r>
        <w:rPr>
          <w:b/>
        </w:rPr>
        <w:lastRenderedPageBreak/>
        <w:t>Round Three</w:t>
      </w:r>
    </w:p>
    <w:tbl>
      <w:tblPr>
        <w:tblStyle w:val="TableGrid"/>
        <w:tblW w:w="0" w:type="auto"/>
        <w:tblLook w:val="04A0" w:firstRow="1" w:lastRow="0" w:firstColumn="1" w:lastColumn="0" w:noHBand="0" w:noVBand="1"/>
      </w:tblPr>
      <w:tblGrid>
        <w:gridCol w:w="1998"/>
        <w:gridCol w:w="4500"/>
        <w:gridCol w:w="4518"/>
      </w:tblGrid>
      <w:tr w:rsidR="007E605E" w:rsidTr="00AE109D">
        <w:tc>
          <w:tcPr>
            <w:tcW w:w="1998" w:type="dxa"/>
            <w:vAlign w:val="center"/>
          </w:tcPr>
          <w:p w:rsidR="007E605E" w:rsidRPr="007E605E" w:rsidRDefault="007E605E" w:rsidP="00AE109D">
            <w:pPr>
              <w:jc w:val="center"/>
              <w:rPr>
                <w:b/>
              </w:rPr>
            </w:pPr>
            <w:r w:rsidRPr="007E605E">
              <w:rPr>
                <w:b/>
              </w:rPr>
              <w:t>Document</w:t>
            </w:r>
          </w:p>
        </w:tc>
        <w:tc>
          <w:tcPr>
            <w:tcW w:w="4500" w:type="dxa"/>
            <w:vAlign w:val="center"/>
          </w:tcPr>
          <w:p w:rsidR="007E605E" w:rsidRPr="007E605E" w:rsidRDefault="007E605E" w:rsidP="00AE109D">
            <w:pPr>
              <w:jc w:val="center"/>
              <w:rPr>
                <w:b/>
              </w:rPr>
            </w:pPr>
            <w:r w:rsidRPr="007E605E">
              <w:rPr>
                <w:b/>
              </w:rPr>
              <w:t>Reasons for internment suggested by this document</w:t>
            </w:r>
          </w:p>
        </w:tc>
        <w:tc>
          <w:tcPr>
            <w:tcW w:w="4518" w:type="dxa"/>
            <w:vAlign w:val="center"/>
          </w:tcPr>
          <w:p w:rsidR="007E605E" w:rsidRPr="007E605E" w:rsidRDefault="007E605E" w:rsidP="00AE109D">
            <w:pPr>
              <w:jc w:val="center"/>
              <w:rPr>
                <w:b/>
              </w:rPr>
            </w:pPr>
            <w:r w:rsidRPr="007E605E">
              <w:rPr>
                <w:b/>
              </w:rPr>
              <w:t>Evidence from the document to support these reasons</w:t>
            </w:r>
          </w:p>
        </w:tc>
      </w:tr>
      <w:tr w:rsidR="007E605E" w:rsidTr="00AE109D">
        <w:tc>
          <w:tcPr>
            <w:tcW w:w="1998" w:type="dxa"/>
            <w:vAlign w:val="center"/>
          </w:tcPr>
          <w:p w:rsidR="007E605E" w:rsidRPr="007E605E" w:rsidRDefault="007E605E" w:rsidP="00AE109D">
            <w:pPr>
              <w:jc w:val="center"/>
              <w:rPr>
                <w:b/>
              </w:rPr>
            </w:pPr>
            <w:r>
              <w:rPr>
                <w:b/>
              </w:rPr>
              <w:t>Korematsu v. United States</w:t>
            </w:r>
          </w:p>
          <w:p w:rsidR="007E605E" w:rsidRPr="007E605E" w:rsidRDefault="007E605E" w:rsidP="00AE109D">
            <w:pPr>
              <w:jc w:val="center"/>
              <w:rPr>
                <w:b/>
              </w:rPr>
            </w:pPr>
          </w:p>
          <w:p w:rsidR="007E605E" w:rsidRDefault="007E605E" w:rsidP="00AE109D">
            <w:pPr>
              <w:jc w:val="center"/>
              <w:rPr>
                <w:b/>
              </w:rPr>
            </w:pPr>
            <w:r w:rsidRPr="007E605E">
              <w:rPr>
                <w:b/>
              </w:rPr>
              <w:t xml:space="preserve">Date: </w:t>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r>
            <w:r w:rsidRPr="007E605E">
              <w:rPr>
                <w:b/>
              </w:rPr>
              <w:softHyphen/>
              <w:t>___________</w:t>
            </w:r>
          </w:p>
          <w:p w:rsidR="007E605E" w:rsidRDefault="007E605E" w:rsidP="00AE109D">
            <w:pPr>
              <w:jc w:val="center"/>
              <w:rPr>
                <w:b/>
              </w:rPr>
            </w:pPr>
          </w:p>
          <w:p w:rsidR="007E605E" w:rsidRPr="007E605E" w:rsidRDefault="007E605E" w:rsidP="00AE109D">
            <w:pPr>
              <w:jc w:val="center"/>
              <w:rPr>
                <w:b/>
              </w:rPr>
            </w:pPr>
          </w:p>
        </w:tc>
        <w:tc>
          <w:tcPr>
            <w:tcW w:w="4500" w:type="dxa"/>
            <w:vAlign w:val="center"/>
          </w:tcPr>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Pr="007E605E" w:rsidRDefault="007E605E" w:rsidP="00AE109D">
            <w:pPr>
              <w:jc w:val="center"/>
              <w:rPr>
                <w:b/>
              </w:rPr>
            </w:pPr>
          </w:p>
        </w:tc>
        <w:tc>
          <w:tcPr>
            <w:tcW w:w="4518" w:type="dxa"/>
            <w:vAlign w:val="center"/>
          </w:tcPr>
          <w:p w:rsidR="007E605E" w:rsidRPr="007E605E" w:rsidRDefault="007E605E" w:rsidP="00AE109D">
            <w:pPr>
              <w:jc w:val="center"/>
              <w:rPr>
                <w:b/>
              </w:rPr>
            </w:pPr>
          </w:p>
        </w:tc>
      </w:tr>
      <w:tr w:rsidR="007E605E" w:rsidTr="00AE109D">
        <w:tc>
          <w:tcPr>
            <w:tcW w:w="1998" w:type="dxa"/>
            <w:vAlign w:val="center"/>
          </w:tcPr>
          <w:p w:rsidR="007E605E" w:rsidRDefault="007E605E" w:rsidP="00AE109D">
            <w:pPr>
              <w:jc w:val="center"/>
              <w:rPr>
                <w:b/>
              </w:rPr>
            </w:pPr>
            <w:r>
              <w:rPr>
                <w:b/>
              </w:rPr>
              <w:t>Personal Justice Denied</w:t>
            </w:r>
          </w:p>
          <w:p w:rsidR="007E605E" w:rsidRDefault="007E605E" w:rsidP="00AE109D">
            <w:pPr>
              <w:jc w:val="center"/>
              <w:rPr>
                <w:b/>
              </w:rPr>
            </w:pPr>
          </w:p>
          <w:p w:rsidR="007E605E" w:rsidRDefault="007E605E" w:rsidP="00AE109D">
            <w:pPr>
              <w:jc w:val="center"/>
              <w:rPr>
                <w:b/>
              </w:rPr>
            </w:pPr>
            <w:r>
              <w:rPr>
                <w:b/>
              </w:rPr>
              <w:t xml:space="preserve">Date: </w:t>
            </w:r>
            <w:r>
              <w:rPr>
                <w:b/>
              </w:rPr>
              <w:softHyphen/>
            </w:r>
            <w:r>
              <w:rPr>
                <w:b/>
              </w:rPr>
              <w:softHyphen/>
            </w:r>
            <w:r>
              <w:rPr>
                <w:b/>
              </w:rPr>
              <w:softHyphen/>
              <w:t>___________</w:t>
            </w:r>
          </w:p>
        </w:tc>
        <w:tc>
          <w:tcPr>
            <w:tcW w:w="4500" w:type="dxa"/>
            <w:vAlign w:val="center"/>
          </w:tcPr>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p w:rsidR="007E605E" w:rsidRDefault="007E605E" w:rsidP="00AE109D">
            <w:pPr>
              <w:jc w:val="center"/>
              <w:rPr>
                <w:b/>
              </w:rPr>
            </w:pPr>
          </w:p>
        </w:tc>
        <w:tc>
          <w:tcPr>
            <w:tcW w:w="4518" w:type="dxa"/>
            <w:vAlign w:val="center"/>
          </w:tcPr>
          <w:p w:rsidR="007E605E" w:rsidRPr="007E605E" w:rsidRDefault="007E605E" w:rsidP="00AE109D">
            <w:pPr>
              <w:jc w:val="center"/>
              <w:rPr>
                <w:b/>
              </w:rPr>
            </w:pPr>
          </w:p>
        </w:tc>
      </w:tr>
    </w:tbl>
    <w:p w:rsidR="007E605E" w:rsidRDefault="007E605E" w:rsidP="007E605E">
      <w:pPr>
        <w:spacing w:after="0"/>
        <w:rPr>
          <w:b/>
        </w:rPr>
      </w:pPr>
    </w:p>
    <w:p w:rsidR="007E605E" w:rsidRDefault="007E605E" w:rsidP="007E605E">
      <w:pPr>
        <w:spacing w:after="0"/>
        <w:jc w:val="center"/>
      </w:pPr>
      <w:r>
        <w:t>Final Hypothesis</w:t>
      </w:r>
      <w:r>
        <w:t>: Why were Japanese Americans interned during World War II</w:t>
      </w:r>
      <w:r>
        <w:t>?</w:t>
      </w:r>
    </w:p>
    <w:tbl>
      <w:tblPr>
        <w:tblStyle w:val="TableGrid"/>
        <w:tblW w:w="0" w:type="auto"/>
        <w:tblLook w:val="04A0" w:firstRow="1" w:lastRow="0" w:firstColumn="1" w:lastColumn="0" w:noHBand="0" w:noVBand="1"/>
      </w:tblPr>
      <w:tblGrid>
        <w:gridCol w:w="11016"/>
      </w:tblGrid>
      <w:tr w:rsidR="007E605E" w:rsidTr="00AE109D">
        <w:tc>
          <w:tcPr>
            <w:tcW w:w="11016" w:type="dxa"/>
          </w:tcPr>
          <w:p w:rsidR="007E605E" w:rsidRDefault="007E605E" w:rsidP="00AE109D">
            <w:pPr>
              <w:jc w:val="center"/>
            </w:pPr>
          </w:p>
          <w:p w:rsidR="007E605E" w:rsidRDefault="007E605E" w:rsidP="00AE109D">
            <w:pPr>
              <w:jc w:val="center"/>
            </w:pPr>
          </w:p>
          <w:p w:rsidR="007E605E" w:rsidRDefault="007E605E" w:rsidP="00AE109D">
            <w:pPr>
              <w:jc w:val="center"/>
            </w:pPr>
          </w:p>
          <w:p w:rsidR="007E605E" w:rsidRDefault="007E605E" w:rsidP="00AE109D">
            <w:pPr>
              <w:jc w:val="center"/>
            </w:pPr>
          </w:p>
          <w:p w:rsidR="007E605E" w:rsidRDefault="007E605E"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DB55DF" w:rsidRDefault="00DB55DF" w:rsidP="00AE109D">
            <w:pPr>
              <w:jc w:val="center"/>
            </w:pPr>
          </w:p>
          <w:p w:rsidR="007E605E" w:rsidRDefault="007E605E" w:rsidP="00AE109D">
            <w:pPr>
              <w:jc w:val="center"/>
            </w:pPr>
          </w:p>
          <w:p w:rsidR="007E605E" w:rsidRDefault="007E605E" w:rsidP="00AE109D">
            <w:pPr>
              <w:jc w:val="center"/>
            </w:pPr>
          </w:p>
        </w:tc>
      </w:tr>
    </w:tbl>
    <w:p w:rsidR="00DB55DF" w:rsidRPr="00DB55DF" w:rsidRDefault="00DB55DF" w:rsidP="00DB55DF">
      <w:pPr>
        <w:jc w:val="center"/>
        <w:rPr>
          <w:b/>
        </w:rPr>
      </w:pPr>
      <w:r w:rsidRPr="00DB55DF">
        <w:rPr>
          <w:b/>
        </w:rPr>
        <w:lastRenderedPageBreak/>
        <w:t>Document B: The Munson Report</w:t>
      </w:r>
    </w:p>
    <w:p w:rsidR="00DB55DF" w:rsidRPr="00DB55DF" w:rsidRDefault="00DB55DF" w:rsidP="00DB55DF">
      <w:pPr>
        <w:rPr>
          <w:i/>
        </w:rPr>
      </w:pPr>
      <w:r w:rsidRPr="00DB55DF">
        <w:rPr>
          <w:i/>
        </w:rPr>
        <w:t>In 1941 President Roosevelt ordered the State Department to investigate the loyalty of Japanese Americans. Special Representative of the State Department Curtis B. Munson carried out the investigation in October and November of 1941 and presented what came to be known as the “Munson Report” to the President on November 7, 1941. The excerpt below is from the 25-page report.</w:t>
      </w:r>
    </w:p>
    <w:p w:rsidR="00DB55DF" w:rsidRPr="00DB55DF" w:rsidRDefault="00DB55DF" w:rsidP="00DB55DF">
      <w:r w:rsidRPr="00DB55DF">
        <w:t>There is no Japanese ‘problem’ on th</w:t>
      </w:r>
      <w:r>
        <w:t xml:space="preserve">e Coast. There will be no armed </w:t>
      </w:r>
      <w:r w:rsidRPr="00DB55DF">
        <w:t>uprising of Japanese. There will undoub</w:t>
      </w:r>
      <w:r>
        <w:t xml:space="preserve">tedly be some sabotage financed </w:t>
      </w:r>
      <w:r w:rsidRPr="00DB55DF">
        <w:t>by Japan and executed largely by impor</w:t>
      </w:r>
      <w:r>
        <w:t xml:space="preserve">ted agents. . . . In each Naval </w:t>
      </w:r>
      <w:r w:rsidRPr="00DB55DF">
        <w:t>District there are about 250 to 300 suspects un</w:t>
      </w:r>
      <w:r>
        <w:t xml:space="preserve">der surveillance. It is easy to </w:t>
      </w:r>
      <w:r w:rsidRPr="00DB55DF">
        <w:t>get on the suspect list, merely a speech in favor of</w:t>
      </w:r>
      <w:r>
        <w:t xml:space="preserve"> Japan at some banquet </w:t>
      </w:r>
      <w:r w:rsidRPr="00DB55DF">
        <w:t>being sufficient to land one there. The Int</w:t>
      </w:r>
      <w:r>
        <w:t xml:space="preserve">elligence Services are generous </w:t>
      </w:r>
      <w:r w:rsidRPr="00DB55DF">
        <w:t>with the title of suspect and are taking no c</w:t>
      </w:r>
      <w:r>
        <w:t xml:space="preserve">hances. Privately, they believe </w:t>
      </w:r>
      <w:r w:rsidRPr="00DB55DF">
        <w:t>that only 50 or 60 in each district can be c</w:t>
      </w:r>
      <w:r>
        <w:t xml:space="preserve">lassed as really dangerous. The </w:t>
      </w:r>
      <w:r w:rsidRPr="00DB55DF">
        <w:t>Japanese are hampered as saboteurs bec</w:t>
      </w:r>
      <w:r>
        <w:t xml:space="preserve">ause of their easily recognized </w:t>
      </w:r>
      <w:r w:rsidRPr="00DB55DF">
        <w:t>physical appearance. It will be hard for th</w:t>
      </w:r>
      <w:r>
        <w:t xml:space="preserve">em to get near anything to blow </w:t>
      </w:r>
      <w:r w:rsidRPr="00DB55DF">
        <w:t>up if it is guarded. There is far more da</w:t>
      </w:r>
      <w:r>
        <w:t xml:space="preserve">nger from Communists and people </w:t>
      </w:r>
      <w:r w:rsidRPr="00DB55DF">
        <w:t>of the Bridges type on the Coast than there</w:t>
      </w:r>
      <w:r>
        <w:t xml:space="preserve"> is from Japanese. The </w:t>
      </w:r>
      <w:r w:rsidRPr="00DB55DF">
        <w:t>Japanese here is almost exclusively a</w:t>
      </w:r>
      <w:r>
        <w:t xml:space="preserve"> farmer, a fisherman or a small </w:t>
      </w:r>
      <w:r w:rsidRPr="00DB55DF">
        <w:t>businessman. He has no entrée to plants or intricate machinery.</w:t>
      </w:r>
    </w:p>
    <w:p w:rsidR="00DB55DF" w:rsidRPr="00DB55DF" w:rsidRDefault="00DB55DF" w:rsidP="00DB55DF">
      <w:r w:rsidRPr="00DB55DF">
        <w:rPr>
          <w:b/>
        </w:rPr>
        <w:t>Source:</w:t>
      </w:r>
      <w:r w:rsidRPr="00DB55DF">
        <w:t xml:space="preserve"> The Munson Report, delivered to</w:t>
      </w:r>
      <w:r>
        <w:t xml:space="preserve"> President Roosevelt by Special </w:t>
      </w:r>
      <w:r w:rsidRPr="00DB55DF">
        <w:t>Representative of the State Departmen</w:t>
      </w:r>
      <w:r>
        <w:t xml:space="preserve">t Curtis B. Munson, November 7, </w:t>
      </w:r>
      <w:r w:rsidRPr="00DB55DF">
        <w:t>1941.</w:t>
      </w:r>
    </w:p>
    <w:p w:rsidR="00DB55DF" w:rsidRPr="00DB55DF" w:rsidRDefault="00DB55DF" w:rsidP="00DB55DF">
      <w:pPr>
        <w:spacing w:after="0"/>
        <w:rPr>
          <w:b/>
          <w:u w:val="single"/>
        </w:rPr>
      </w:pPr>
      <w:r w:rsidRPr="00DB55DF">
        <w:rPr>
          <w:b/>
          <w:u w:val="single"/>
        </w:rPr>
        <w:t>Vocabulary</w:t>
      </w:r>
    </w:p>
    <w:p w:rsidR="00DB55DF" w:rsidRDefault="00DB55DF" w:rsidP="00DB55DF">
      <w:pPr>
        <w:spacing w:after="0"/>
      </w:pPr>
      <w:r w:rsidRPr="00DB55DF">
        <w:rPr>
          <w:b/>
        </w:rPr>
        <w:t>Saboteurs:</w:t>
      </w:r>
      <w:r w:rsidRPr="00DB55DF">
        <w:t xml:space="preserve"> a person who deliberately destro</w:t>
      </w:r>
      <w:r>
        <w:t>ys something to gain a military advantage</w:t>
      </w:r>
    </w:p>
    <w:p w:rsidR="00DB55DF" w:rsidRPr="00DB55DF" w:rsidRDefault="00DB55DF" w:rsidP="00DB55DF">
      <w:pPr>
        <w:spacing w:after="0"/>
      </w:pPr>
      <w:r w:rsidRPr="00DB55DF">
        <w:rPr>
          <w:b/>
        </w:rPr>
        <w:t>Bridges type:</w:t>
      </w:r>
      <w:r w:rsidRPr="00DB55DF">
        <w:t xml:space="preserve"> a reference to Harry Bridges</w:t>
      </w:r>
      <w:r>
        <w:t xml:space="preserve">, a leader of the International </w:t>
      </w:r>
      <w:r w:rsidRPr="00DB55DF">
        <w:t>Longshore and Warehouse Union</w:t>
      </w:r>
    </w:p>
    <w:p w:rsidR="00DB55DF" w:rsidRPr="00DB55DF" w:rsidRDefault="00DB55DF" w:rsidP="00DB55DF">
      <w:pPr>
        <w:spacing w:after="0"/>
      </w:pPr>
      <w:r w:rsidRPr="00DB55DF">
        <w:rPr>
          <w:b/>
        </w:rPr>
        <w:t>Entrée:</w:t>
      </w:r>
      <w:r w:rsidRPr="00DB55DF">
        <w:t xml:space="preserve"> permission to enter</w:t>
      </w:r>
    </w:p>
    <w:p w:rsidR="007E605E" w:rsidRDefault="00DB55DF" w:rsidP="00DB55DF">
      <w:pPr>
        <w:spacing w:after="0"/>
      </w:pPr>
      <w:r w:rsidRPr="00DB55DF">
        <w:rPr>
          <w:b/>
        </w:rPr>
        <w:t>Intricate:</w:t>
      </w:r>
      <w:r w:rsidRPr="00DB55DF">
        <w:t xml:space="preserve"> complicated</w:t>
      </w:r>
    </w:p>
    <w:p w:rsidR="00DB55DF" w:rsidRDefault="00DB55DF" w:rsidP="00DB55DF">
      <w:pPr>
        <w:spacing w:after="0"/>
      </w:pPr>
    </w:p>
    <w:p w:rsidR="00DB55DF" w:rsidRPr="00DB55DF" w:rsidRDefault="00DB55DF" w:rsidP="00DB55DF">
      <w:pPr>
        <w:jc w:val="center"/>
        <w:rPr>
          <w:b/>
          <w:sz w:val="24"/>
          <w:szCs w:val="24"/>
        </w:rPr>
      </w:pPr>
      <w:r w:rsidRPr="00DB55DF">
        <w:rPr>
          <w:b/>
          <w:sz w:val="24"/>
          <w:szCs w:val="24"/>
        </w:rPr>
        <w:t>Document C: The Crisis</w:t>
      </w:r>
    </w:p>
    <w:p w:rsidR="00DB55DF" w:rsidRPr="00DB55DF" w:rsidRDefault="00DB55DF" w:rsidP="00DB55DF">
      <w:pPr>
        <w:rPr>
          <w:i/>
        </w:rPr>
      </w:pPr>
      <w:r w:rsidRPr="00DB55DF">
        <w:rPr>
          <w:i/>
        </w:rPr>
        <w:t>The following excerpt is from an editorial published in The Crisis shortly after the establishment of internment camps for Japanese Americans. Founded in 1910, The Crisis is the official magazine of the National Association for the Advancement of Colored People (NAACP), an organization dedicated to promoting civil rights.</w:t>
      </w:r>
    </w:p>
    <w:p w:rsidR="00DB55DF" w:rsidRPr="00DB55DF" w:rsidRDefault="00DB55DF" w:rsidP="00DB55DF">
      <w:r w:rsidRPr="00DB55DF">
        <w:t>Along the eastern coast of the Unit</w:t>
      </w:r>
      <w:r>
        <w:t xml:space="preserve">ed States, where the numbers of </w:t>
      </w:r>
      <w:r w:rsidRPr="00DB55DF">
        <w:t xml:space="preserve">Americans of Japanese ancestry is comparatively small, no </w:t>
      </w:r>
      <w:r>
        <w:t xml:space="preserve">concentration </w:t>
      </w:r>
      <w:r w:rsidRPr="00DB55DF">
        <w:t>camps have been established. From a m</w:t>
      </w:r>
      <w:r>
        <w:t xml:space="preserve">ilitary point of view, the only </w:t>
      </w:r>
      <w:r w:rsidRPr="00DB55DF">
        <w:t>danger on this coast is from Germany an</w:t>
      </w:r>
      <w:r>
        <w:t xml:space="preserve">d Italy. . . . But the American </w:t>
      </w:r>
      <w:r w:rsidRPr="00DB55DF">
        <w:t xml:space="preserve">government has not taken any such high-handed </w:t>
      </w:r>
      <w:r>
        <w:t xml:space="preserve">action against Germans </w:t>
      </w:r>
      <w:r w:rsidRPr="00DB55DF">
        <w:t>and Italians – and their American-born d</w:t>
      </w:r>
      <w:r>
        <w:t xml:space="preserve">escendants – on the East Coast, </w:t>
      </w:r>
      <w:r w:rsidRPr="00DB55DF">
        <w:t xml:space="preserve">as has been taken against Japanese and </w:t>
      </w:r>
      <w:r>
        <w:t xml:space="preserve">their American-born descendants </w:t>
      </w:r>
      <w:r w:rsidRPr="00DB55DF">
        <w:t>on the West Coast. Ge</w:t>
      </w:r>
      <w:r>
        <w:t xml:space="preserve">rmans and Italians are “white.” </w:t>
      </w:r>
      <w:r w:rsidRPr="00DB55DF">
        <w:t>Color seems to be the only possible r</w:t>
      </w:r>
      <w:r>
        <w:t xml:space="preserve">eason why thousands of American </w:t>
      </w:r>
      <w:r w:rsidRPr="00DB55DF">
        <w:t>citizens of Japanese ancestry are in con</w:t>
      </w:r>
      <w:r>
        <w:t xml:space="preserve">centration camps. Anyway, there </w:t>
      </w:r>
      <w:r w:rsidRPr="00DB55DF">
        <w:t>are no Italian-American, or German-American citizens in such camps.</w:t>
      </w:r>
    </w:p>
    <w:p w:rsidR="00DB55DF" w:rsidRPr="00DB55DF" w:rsidRDefault="00DB55DF" w:rsidP="00DB55DF">
      <w:r w:rsidRPr="00DB55DF">
        <w:rPr>
          <w:b/>
        </w:rPr>
        <w:t>Source:</w:t>
      </w:r>
      <w:r w:rsidRPr="00DB55DF">
        <w:t xml:space="preserve"> Harry Paxton Howard, “Americans in Concentration Camps,” </w:t>
      </w:r>
      <w:r>
        <w:t xml:space="preserve">The </w:t>
      </w:r>
      <w:r w:rsidRPr="00DB55DF">
        <w:t>Crisis, September 1942.</w:t>
      </w:r>
    </w:p>
    <w:p w:rsidR="00DB55DF" w:rsidRPr="00DB55DF" w:rsidRDefault="00DB55DF" w:rsidP="00DB55DF">
      <w:pPr>
        <w:spacing w:after="0"/>
        <w:rPr>
          <w:b/>
          <w:u w:val="single"/>
        </w:rPr>
      </w:pPr>
      <w:r w:rsidRPr="00DB55DF">
        <w:rPr>
          <w:b/>
          <w:u w:val="single"/>
        </w:rPr>
        <w:t>Vocabulary</w:t>
      </w:r>
    </w:p>
    <w:p w:rsidR="00DB55DF" w:rsidRDefault="00DB55DF" w:rsidP="00DB55DF">
      <w:pPr>
        <w:spacing w:after="0"/>
      </w:pPr>
      <w:proofErr w:type="gramStart"/>
      <w:r w:rsidRPr="00DB55DF">
        <w:rPr>
          <w:b/>
        </w:rPr>
        <w:t>high-handed</w:t>
      </w:r>
      <w:proofErr w:type="gramEnd"/>
      <w:r w:rsidRPr="00DB55DF">
        <w:rPr>
          <w:b/>
        </w:rPr>
        <w:t>:</w:t>
      </w:r>
      <w:r w:rsidRPr="00DB55DF">
        <w:t xml:space="preserve"> using authority without considering the feelings of others</w:t>
      </w:r>
    </w:p>
    <w:p w:rsidR="00DB55DF" w:rsidRDefault="00DB55DF" w:rsidP="00DB55DF">
      <w:pPr>
        <w:spacing w:after="0"/>
      </w:pPr>
    </w:p>
    <w:p w:rsidR="00DB55DF" w:rsidRDefault="00DB55DF" w:rsidP="00DB55DF">
      <w:pPr>
        <w:spacing w:after="0"/>
      </w:pPr>
    </w:p>
    <w:p w:rsidR="00DB55DF" w:rsidRDefault="00DB55DF" w:rsidP="00DB55DF">
      <w:pPr>
        <w:spacing w:after="0"/>
      </w:pPr>
    </w:p>
    <w:p w:rsidR="00DB55DF" w:rsidRDefault="00DB55DF" w:rsidP="00DB55DF">
      <w:pPr>
        <w:spacing w:after="0"/>
      </w:pPr>
    </w:p>
    <w:p w:rsidR="00DB55DF" w:rsidRDefault="00DB55DF" w:rsidP="00DB55DF">
      <w:pPr>
        <w:spacing w:after="0"/>
      </w:pPr>
    </w:p>
    <w:p w:rsidR="00DB55DF" w:rsidRPr="00DB55DF" w:rsidRDefault="00DB55DF" w:rsidP="00DB55DF">
      <w:pPr>
        <w:jc w:val="center"/>
        <w:rPr>
          <w:b/>
        </w:rPr>
      </w:pPr>
      <w:r w:rsidRPr="00DB55DF">
        <w:rPr>
          <w:b/>
        </w:rPr>
        <w:lastRenderedPageBreak/>
        <w:t>Document D: The Korematsu Supreme Court Ruling</w:t>
      </w:r>
    </w:p>
    <w:p w:rsidR="00DB55DF" w:rsidRPr="00DB55DF" w:rsidRDefault="00DB55DF" w:rsidP="00DB55DF">
      <w:pPr>
        <w:rPr>
          <w:i/>
        </w:rPr>
      </w:pPr>
      <w:r w:rsidRPr="00DB55DF">
        <w:rPr>
          <w:i/>
        </w:rPr>
        <w:t>In 1944, Fred Korematsu, a Japanese American convicted of evading internment, brought his case to the Supreme Court. In a controversial ruling, the Court decided that national security outweighed Korematsu’s individual rights and upheld the constitutionality of Executive Order 9066. The excerpt below is from the Court’s majority opinion written by Chief Justice Hugo Black.</w:t>
      </w:r>
    </w:p>
    <w:p w:rsidR="00DB55DF" w:rsidRPr="00DB55DF" w:rsidRDefault="00DB55DF" w:rsidP="00DB55DF">
      <w:r w:rsidRPr="00DB55DF">
        <w:t xml:space="preserve">We uphold the exclusion order. . . . In doing </w:t>
      </w:r>
      <w:r>
        <w:t xml:space="preserve">so, we are not unmindful of the </w:t>
      </w:r>
      <w:r w:rsidRPr="00DB55DF">
        <w:t xml:space="preserve">hardships imposed by it upon a large group </w:t>
      </w:r>
      <w:r>
        <w:t xml:space="preserve">of American citizens. . . . But </w:t>
      </w:r>
      <w:r w:rsidRPr="00DB55DF">
        <w:t xml:space="preserve">hardships are part of war, and war is an aggregation </w:t>
      </w:r>
      <w:r w:rsidR="00DB4348">
        <w:t>of hardships…</w:t>
      </w:r>
      <w:r w:rsidRPr="00DB55DF">
        <w:t xml:space="preserve">Compulsory </w:t>
      </w:r>
      <w:r>
        <w:t xml:space="preserve">exclusion of </w:t>
      </w:r>
      <w:r w:rsidRPr="00DB55DF">
        <w:t>large groups of citizens from their homes, except under circumstanc</w:t>
      </w:r>
      <w:r>
        <w:t xml:space="preserve">es of </w:t>
      </w:r>
      <w:r w:rsidRPr="00DB55DF">
        <w:t>direct emergency and peril, is inconsist</w:t>
      </w:r>
      <w:r>
        <w:t xml:space="preserve">ent with our basic governmental </w:t>
      </w:r>
      <w:r w:rsidRPr="00DB55DF">
        <w:t>institutions. But when, under conditions of</w:t>
      </w:r>
      <w:r>
        <w:t xml:space="preserve"> modern warfare, our shores are </w:t>
      </w:r>
      <w:r w:rsidRPr="00DB55DF">
        <w:t xml:space="preserve">threatened by hostile forces, the power to protect must be </w:t>
      </w:r>
      <w:r>
        <w:t xml:space="preserve">commensurate </w:t>
      </w:r>
      <w:r w:rsidRPr="00DB55DF">
        <w:t>with the threatened danger. . . .</w:t>
      </w:r>
    </w:p>
    <w:p w:rsidR="00DB55DF" w:rsidRPr="00DB55DF" w:rsidRDefault="00DB55DF" w:rsidP="00DB55DF">
      <w:r w:rsidRPr="00DB55DF">
        <w:t>Korematsu was not excluded from the Milita</w:t>
      </w:r>
      <w:r>
        <w:t xml:space="preserve">ry Area because of hostility to </w:t>
      </w:r>
      <w:r w:rsidRPr="00DB55DF">
        <w:t xml:space="preserve">him or his race. He was excluded because </w:t>
      </w:r>
      <w:r>
        <w:t xml:space="preserve">we are at war with the Japanese </w:t>
      </w:r>
      <w:r w:rsidRPr="00DB55DF">
        <w:t>Empire, because the . . . military authorities</w:t>
      </w:r>
      <w:r>
        <w:t xml:space="preserve"> feared an invasion of our West </w:t>
      </w:r>
      <w:r w:rsidRPr="00DB55DF">
        <w:t>Coast and . . . because they decided t</w:t>
      </w:r>
      <w:r>
        <w:t xml:space="preserve">hat the military urgency of the </w:t>
      </w:r>
      <w:r w:rsidRPr="00DB55DF">
        <w:t>situation demanded that all citizens of Japanese ancestry be segr</w:t>
      </w:r>
      <w:r>
        <w:t xml:space="preserve">egated </w:t>
      </w:r>
      <w:r w:rsidRPr="00DB55DF">
        <w:t>from the West Coast temporarily</w:t>
      </w:r>
      <w:bookmarkStart w:id="0" w:name="_GoBack"/>
      <w:bookmarkEnd w:id="0"/>
    </w:p>
    <w:p w:rsidR="00DB55DF" w:rsidRPr="00DB55DF" w:rsidRDefault="00DB55DF" w:rsidP="00DB55DF">
      <w:r w:rsidRPr="00DB55DF">
        <w:rPr>
          <w:b/>
        </w:rPr>
        <w:t>Source:</w:t>
      </w:r>
      <w:r w:rsidRPr="00DB55DF">
        <w:t xml:space="preserve"> Chief Justice Hugo Black, Korematsu v. United States, 1944.</w:t>
      </w:r>
    </w:p>
    <w:p w:rsidR="00DB55DF" w:rsidRPr="00DB55DF" w:rsidRDefault="00DB55DF" w:rsidP="00DB55DF">
      <w:pPr>
        <w:spacing w:after="0"/>
        <w:rPr>
          <w:b/>
          <w:u w:val="single"/>
        </w:rPr>
      </w:pPr>
      <w:r w:rsidRPr="00DB55DF">
        <w:rPr>
          <w:b/>
          <w:u w:val="single"/>
        </w:rPr>
        <w:t>Vocabulary</w:t>
      </w:r>
    </w:p>
    <w:p w:rsidR="00DB55DF" w:rsidRPr="00DB55DF" w:rsidRDefault="00DB55DF" w:rsidP="00DB55DF">
      <w:pPr>
        <w:spacing w:after="0"/>
      </w:pPr>
      <w:r w:rsidRPr="00DB55DF">
        <w:rPr>
          <w:b/>
        </w:rPr>
        <w:t>Aggregation:</w:t>
      </w:r>
      <w:r w:rsidRPr="00DB55DF">
        <w:t xml:space="preserve"> sum</w:t>
      </w:r>
    </w:p>
    <w:p w:rsidR="00DB55DF" w:rsidRPr="00DB55DF" w:rsidRDefault="00DB55DF" w:rsidP="00DB55DF">
      <w:pPr>
        <w:spacing w:after="0"/>
      </w:pPr>
      <w:r w:rsidRPr="00DB55DF">
        <w:rPr>
          <w:b/>
        </w:rPr>
        <w:t>Compulsory:</w:t>
      </w:r>
      <w:r w:rsidRPr="00DB55DF">
        <w:t xml:space="preserve"> mandatory</w:t>
      </w:r>
    </w:p>
    <w:p w:rsidR="00DB55DF" w:rsidRDefault="00DB55DF" w:rsidP="00DB55DF">
      <w:pPr>
        <w:spacing w:after="0"/>
      </w:pPr>
      <w:r w:rsidRPr="00DB55DF">
        <w:rPr>
          <w:b/>
        </w:rPr>
        <w:t>Commensurate:</w:t>
      </w:r>
      <w:r w:rsidRPr="00DB55DF">
        <w:t xml:space="preserve"> in proportion</w:t>
      </w:r>
    </w:p>
    <w:p w:rsidR="00DB4348" w:rsidRDefault="00DB4348" w:rsidP="00DB55DF">
      <w:pPr>
        <w:spacing w:after="0"/>
      </w:pPr>
    </w:p>
    <w:p w:rsidR="00DB4348" w:rsidRPr="00DB4348" w:rsidRDefault="00DB4348" w:rsidP="00DB4348">
      <w:pPr>
        <w:jc w:val="center"/>
        <w:rPr>
          <w:b/>
        </w:rPr>
      </w:pPr>
      <w:r w:rsidRPr="00DB4348">
        <w:rPr>
          <w:b/>
        </w:rPr>
        <w:t>Document E: Personal Justice Denied</w:t>
      </w:r>
    </w:p>
    <w:p w:rsidR="00DB4348" w:rsidRPr="00DB4348" w:rsidRDefault="00DB4348" w:rsidP="00DB4348">
      <w:pPr>
        <w:rPr>
          <w:i/>
        </w:rPr>
      </w:pPr>
      <w:r w:rsidRPr="00DB4348">
        <w:rPr>
          <w:i/>
        </w:rPr>
        <w:t>In 1980, Congress established the Commission on Wartime Relocation and Internment of Civilians to investigate the detention program and the constitutionality of Executive Order 9066. The Commission released its report Personal Justice Denied: The Report of the Commission on Wartime Relocation and Internment of Civilians, on February 24, 1983. The passage below is an excerpt from this report.</w:t>
      </w:r>
    </w:p>
    <w:p w:rsidR="00DB4348" w:rsidRPr="00DB4348" w:rsidRDefault="00DB4348" w:rsidP="00DB4348">
      <w:r w:rsidRPr="00DB4348">
        <w:t>The Commission held 20 days of hearing</w:t>
      </w:r>
      <w:r>
        <w:t xml:space="preserve">s in cities across the country, </w:t>
      </w:r>
      <w:r w:rsidRPr="00DB4348">
        <w:t>particularly on the West Coast, heari</w:t>
      </w:r>
      <w:r>
        <w:t xml:space="preserve">ng testimony from more than 750 </w:t>
      </w:r>
      <w:r w:rsidRPr="00DB4348">
        <w:t>witnesses: evacuees, former government offici</w:t>
      </w:r>
      <w:r>
        <w:t xml:space="preserve">als, public figures, interested </w:t>
      </w:r>
      <w:r w:rsidRPr="00DB4348">
        <w:t>citizens, and historians and other pro</w:t>
      </w:r>
      <w:r>
        <w:t xml:space="preserve">fessionals who have studied the </w:t>
      </w:r>
      <w:r w:rsidRPr="00DB4348">
        <w:t>subjects of Commission inquiry. An exte</w:t>
      </w:r>
      <w:r>
        <w:t xml:space="preserve">nsive effort was made to locate </w:t>
      </w:r>
      <w:r w:rsidRPr="00DB4348">
        <w:t>and to review the records of governm</w:t>
      </w:r>
      <w:r>
        <w:t xml:space="preserve">ent action and to analyze other </w:t>
      </w:r>
      <w:r w:rsidRPr="00DB4348">
        <w:t>sources of information including contempor</w:t>
      </w:r>
      <w:r>
        <w:t xml:space="preserve">ary writings, personal accounts </w:t>
      </w:r>
      <w:r w:rsidRPr="00DB4348">
        <w:t>and historical analyses. . . .</w:t>
      </w:r>
    </w:p>
    <w:p w:rsidR="00DB4348" w:rsidRPr="00DB4348" w:rsidRDefault="00DB4348" w:rsidP="00DB4348">
      <w:r w:rsidRPr="00DB4348">
        <w:t>Executive Order 9066 was not justified</w:t>
      </w:r>
      <w:r>
        <w:t xml:space="preserve"> by military necessity, and the </w:t>
      </w:r>
      <w:r w:rsidRPr="00DB4348">
        <w:t>decisions which followed from it—detenti</w:t>
      </w:r>
      <w:r>
        <w:t xml:space="preserve">on, ending detention and ending </w:t>
      </w:r>
      <w:r w:rsidRPr="00DB4348">
        <w:t>exclusion—were not driven by analysis of</w:t>
      </w:r>
      <w:r>
        <w:t xml:space="preserve"> military conditions. The broad </w:t>
      </w:r>
      <w:r w:rsidRPr="00DB4348">
        <w:t>historical causes which shaped these decisions were race</w:t>
      </w:r>
      <w:r>
        <w:t xml:space="preserve"> prejudice, war </w:t>
      </w:r>
      <w:r w:rsidRPr="00DB4348">
        <w:t>hysteria and a failure of political lead</w:t>
      </w:r>
      <w:r>
        <w:t xml:space="preserve">ership. Widespread ignorance of </w:t>
      </w:r>
      <w:r w:rsidRPr="00DB4348">
        <w:t xml:space="preserve">Japanese Americans contributed to </w:t>
      </w:r>
      <w:r>
        <w:t xml:space="preserve">a policy conceived in haste and </w:t>
      </w:r>
      <w:r w:rsidRPr="00DB4348">
        <w:t>executed in an atmosphere of fear and an</w:t>
      </w:r>
      <w:r>
        <w:t xml:space="preserve">ger at Japan. A grave injustice </w:t>
      </w:r>
      <w:r w:rsidRPr="00DB4348">
        <w:t>was done to American citizens and resid</w:t>
      </w:r>
      <w:r>
        <w:t xml:space="preserve">ent aliens of Japanese ancestry </w:t>
      </w:r>
      <w:r w:rsidRPr="00DB4348">
        <w:t>who, without individual review or any . . . evidence against them, were</w:t>
      </w:r>
      <w:r>
        <w:t xml:space="preserve"> </w:t>
      </w:r>
      <w:r w:rsidRPr="00DB4348">
        <w:t>excluded, removed and detained by the United States during World War II.</w:t>
      </w:r>
    </w:p>
    <w:p w:rsidR="00DB4348" w:rsidRPr="00DB4348" w:rsidRDefault="00DB4348" w:rsidP="00DB4348">
      <w:r w:rsidRPr="00DB4348">
        <w:rPr>
          <w:b/>
        </w:rPr>
        <w:t>Source:</w:t>
      </w:r>
      <w:r w:rsidRPr="00DB4348">
        <w:t xml:space="preserve"> Personal Justice Denied: </w:t>
      </w:r>
      <w:r>
        <w:t xml:space="preserve">The Report of the Commission on </w:t>
      </w:r>
      <w:r w:rsidRPr="00DB4348">
        <w:t>Wartime Relocation and Internment of Civilians, February 24, 1983.</w:t>
      </w:r>
    </w:p>
    <w:sectPr w:rsidR="00DB4348" w:rsidRPr="00DB4348" w:rsidSect="007E60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5E"/>
    <w:rsid w:val="007E605E"/>
    <w:rsid w:val="00DB4348"/>
    <w:rsid w:val="00DB55DF"/>
    <w:rsid w:val="00E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5C61A-0E2D-425F-9664-8EEAB51B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5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A61yDOCyF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Bellwood</dc:creator>
  <cp:keywords/>
  <dc:description/>
  <cp:lastModifiedBy>Aaron Bellwood</cp:lastModifiedBy>
  <cp:revision>1</cp:revision>
  <dcterms:created xsi:type="dcterms:W3CDTF">2016-01-29T01:38:00Z</dcterms:created>
  <dcterms:modified xsi:type="dcterms:W3CDTF">2016-01-29T02:05:00Z</dcterms:modified>
</cp:coreProperties>
</file>